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63" w:rsidRDefault="00844E63">
      <w:pPr>
        <w:spacing w:after="150" w:line="240" w:lineRule="auto"/>
        <w:jc w:val="center"/>
        <w:rPr>
          <w:rFonts w:ascii="Arial" w:hAnsi="Arial"/>
          <w:b/>
          <w:sz w:val="40"/>
        </w:rPr>
      </w:pPr>
      <w:bookmarkStart w:id="0" w:name="_GoBack"/>
      <w:bookmarkEnd w:id="0"/>
    </w:p>
    <w:p w:rsidR="00844E63" w:rsidRDefault="00844E63">
      <w:pPr>
        <w:spacing w:after="150" w:line="240" w:lineRule="auto"/>
        <w:jc w:val="center"/>
        <w:rPr>
          <w:rFonts w:ascii="Arial" w:hAnsi="Arial"/>
          <w:b/>
          <w:sz w:val="40"/>
        </w:rPr>
      </w:pPr>
    </w:p>
    <w:p w:rsidR="00844E63" w:rsidRDefault="00FE3BAF">
      <w:pPr>
        <w:spacing w:after="150" w:line="240" w:lineRule="auto"/>
        <w:rPr>
          <w:rFonts w:ascii="Arial" w:hAnsi="Arial"/>
          <w:sz w:val="40"/>
        </w:rPr>
      </w:pPr>
      <w:r>
        <w:rPr>
          <w:rFonts w:ascii="Arial" w:hAnsi="Arial"/>
          <w:b/>
          <w:sz w:val="40"/>
        </w:rPr>
        <w:t xml:space="preserve">                                 Программа</w:t>
      </w:r>
    </w:p>
    <w:p w:rsidR="00844E63" w:rsidRDefault="00FE3BAF">
      <w:pPr>
        <w:spacing w:after="15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b/>
          <w:sz w:val="40"/>
        </w:rPr>
        <w:t>«Противодействие экстремизму и профилактика терроризма в школе»</w:t>
      </w:r>
    </w:p>
    <w:p w:rsidR="00844E63" w:rsidRDefault="00844E63">
      <w:pPr>
        <w:spacing w:after="150" w:line="240" w:lineRule="auto"/>
        <w:rPr>
          <w:rFonts w:ascii="Arial" w:hAnsi="Arial"/>
          <w:sz w:val="40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Паспорт программы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73"/>
        <w:gridCol w:w="7387"/>
      </w:tblGrid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«Противодействие экстремизму и профилактика терроризма в школе»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социальный педагог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необходимости принятия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культуры толерантности и межнационального согласия.</w:t>
            </w:r>
          </w:p>
          <w:p w:rsidR="00844E63" w:rsidRDefault="00FE3BA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844E63" w:rsidRDefault="00FE3BA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844E63" w:rsidRDefault="00FE3BA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844E63" w:rsidRDefault="00FE3BA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межведомственного взаимодействия по </w:t>
            </w:r>
            <w:r>
              <w:rPr>
                <w:rFonts w:ascii="Times New Roman" w:hAnsi="Times New Roman"/>
                <w:sz w:val="24"/>
              </w:rPr>
              <w:lastRenderedPageBreak/>
              <w:t>профилактике терроризма и экстремизма.</w:t>
            </w:r>
          </w:p>
          <w:p w:rsidR="00844E63" w:rsidRDefault="00FE3BA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844E63" w:rsidRDefault="00FE3BA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844E63" w:rsidRDefault="00FE3BA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844E63" w:rsidRDefault="00FE3BA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занятости молодёжи во внеурочное время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Сроки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A7409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2021-2025</w:t>
            </w:r>
            <w:r w:rsidR="00FE3BAF">
              <w:rPr>
                <w:rFonts w:ascii="Times New Roman" w:hAnsi="Times New Roman"/>
                <w:sz w:val="24"/>
              </w:rPr>
              <w:t xml:space="preserve"> гг.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от реализации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844E63" w:rsidRDefault="00FE3BA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Препятствование созданию и деятельности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националистических экстремистских молодежных группировок.</w:t>
            </w:r>
          </w:p>
          <w:p w:rsidR="00844E63" w:rsidRDefault="00FE3BA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844E63" w:rsidRDefault="00FE3BA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844E63" w:rsidRDefault="00FE3BA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844E63" w:rsidRDefault="00FE3BA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предусмотрены</w:t>
            </w:r>
          </w:p>
        </w:tc>
      </w:tr>
      <w:tr w:rsidR="00844E63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доли обучающихся, охваченных программами по воспитанию толерантности.</w:t>
            </w:r>
          </w:p>
          <w:p w:rsidR="00844E63" w:rsidRDefault="00FE3BA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844E63" w:rsidRDefault="00FE3BA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числа социально значимых проектов (акций), направленных на развитие межэтнической и </w:t>
            </w:r>
            <w:r>
              <w:rPr>
                <w:rFonts w:ascii="Times New Roman" w:hAnsi="Times New Roman"/>
                <w:sz w:val="24"/>
              </w:rPr>
              <w:lastRenderedPageBreak/>
              <w:t>межконфессиональной толерантности.</w:t>
            </w:r>
          </w:p>
        </w:tc>
      </w:tr>
    </w:tbl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Характеристика проблемы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</w:t>
      </w:r>
      <w:r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sz w:val="24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направлена на укрепление в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обучающихся МБОУ   </w:t>
      </w:r>
      <w:r w:rsidR="005D53AE">
        <w:rPr>
          <w:rFonts w:ascii="Times New Roman" w:hAnsi="Times New Roman"/>
          <w:sz w:val="24"/>
        </w:rPr>
        <w:t>Вол</w:t>
      </w:r>
      <w:r w:rsidR="00A74096">
        <w:rPr>
          <w:rFonts w:ascii="Times New Roman" w:hAnsi="Times New Roman"/>
          <w:sz w:val="24"/>
        </w:rPr>
        <w:t xml:space="preserve">очаевская СОШ </w:t>
      </w:r>
      <w:r>
        <w:rPr>
          <w:rFonts w:ascii="Times New Roman" w:hAnsi="Times New Roman"/>
          <w:sz w:val="24"/>
        </w:rPr>
        <w:t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Приоритетное внимание уделяется вопросам повышения уровня подготовки обучающихся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</w:t>
      </w:r>
      <w:r>
        <w:rPr>
          <w:rFonts w:ascii="Times New Roman" w:hAnsi="Times New Roman"/>
          <w:sz w:val="24"/>
        </w:rPr>
        <w:lastRenderedPageBreak/>
        <w:t>предупреждать конфликты, возникающие на почве этнокультурных различий, или разрешать их ненасильственными средствами.</w:t>
      </w:r>
      <w:r>
        <w:rPr>
          <w:rFonts w:ascii="Times New Roman" w:hAnsi="Times New Roman"/>
          <w:b/>
          <w:i/>
          <w:sz w:val="24"/>
        </w:rPr>
        <w:t> 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программы - </w:t>
      </w:r>
      <w:r>
        <w:rPr>
          <w:rFonts w:ascii="Times New Roman" w:hAnsi="Times New Roman"/>
          <w:sz w:val="24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 программы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культуры толерантности и межнационального согласия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межведомственного взаимодействия по профилактике терроризма и экстремизма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844E63" w:rsidRDefault="00FE3BAF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занятости молодёжи во внеурочное время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Основными формами деятельности в рамках реализации программы являются:</w:t>
      </w:r>
    </w:p>
    <w:p w:rsidR="00844E63" w:rsidRDefault="00FE3BAF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844E63" w:rsidRDefault="00FE3BAF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844E63" w:rsidRDefault="00FE3BAF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844E63" w:rsidRDefault="00FE3BAF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тематических экскурсий в музеи, к памятникам истории и культуры.</w:t>
      </w: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Механизм реализации целевой Программы</w:t>
      </w: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Сроки и этапы реализации Программы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рассчитана на поэ</w:t>
      </w:r>
      <w:r w:rsidR="004C335F">
        <w:rPr>
          <w:rFonts w:ascii="Times New Roman" w:hAnsi="Times New Roman"/>
          <w:sz w:val="24"/>
        </w:rPr>
        <w:t>тапную реализацию в течение 2021-2025</w:t>
      </w:r>
      <w:r>
        <w:rPr>
          <w:rFonts w:ascii="Times New Roman" w:hAnsi="Times New Roman"/>
          <w:sz w:val="24"/>
        </w:rPr>
        <w:t xml:space="preserve"> гг.:</w:t>
      </w:r>
    </w:p>
    <w:p w:rsidR="00844E63" w:rsidRDefault="00A74096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 этап (2021</w:t>
      </w:r>
      <w:r w:rsidR="00FE3BAF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2</w:t>
      </w:r>
      <w:r w:rsidR="00FE3BAF">
        <w:rPr>
          <w:rFonts w:ascii="Times New Roman" w:hAnsi="Times New Roman"/>
          <w:b/>
          <w:sz w:val="24"/>
        </w:rPr>
        <w:t xml:space="preserve"> гг.)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мониторинг реализации программы и создание системы контроля за выполнением её мероприятий;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запланированных мероприятий, выработка критериев оценки их эффективности.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A74096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 этап (2023-2025</w:t>
      </w:r>
      <w:r w:rsidR="00FE3BAF">
        <w:rPr>
          <w:rFonts w:ascii="Times New Roman" w:hAnsi="Times New Roman"/>
          <w:b/>
          <w:sz w:val="24"/>
        </w:rPr>
        <w:t>гг.)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совершенствование системы контроля за выполнением мероприятий программы;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мониторинг осуществления программы;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обобщение достигнутого опыта и оценка результатов реализации программы. 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Основные мероприятия Программы: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последовательное и повсеместное пресечение проповеди нетерпимости и насилия;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утверждение в школе концепции многокультурности и многоукладности российской жизни;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пресечение деятельности и запрещение символики экстремистских групп и организаций в школе;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"/>
        <w:gridCol w:w="4615"/>
        <w:gridCol w:w="4228"/>
      </w:tblGrid>
      <w:tr w:rsidR="00844E63">
        <w:trPr>
          <w:trHeight w:val="45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Программы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rPr>
          <w:trHeight w:val="6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844E63">
        <w:trPr>
          <w:trHeight w:val="172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4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охвата обучающихся мероприятиями данной направленности до 100%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4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/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проекта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 направленных на воспитание толерантности.</w:t>
            </w:r>
          </w:p>
        </w:tc>
        <w:tc>
          <w:tcPr>
            <w:tcW w:w="4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социологического исследования оценки уровня социально-политической толерантности молодежной среды в школе</w:t>
            </w:r>
          </w:p>
        </w:tc>
        <w:tc>
          <w:tcPr>
            <w:tcW w:w="4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/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 наставников за подростками, состоящими на профилактическом учете в КДН и ЗП, ПДН ОМВД,  склонным к противоправным действиям экстремистского характера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числа подростков, стоящих на профилактическом учете в КДН и ЗП, ПДН ОМВД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стратегии социальной рекламы, формирующей уважительное отношение к представителям различных национальностей.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буклетов, макетов</w:t>
            </w:r>
          </w:p>
          <w:p w:rsidR="00844E63" w:rsidRDefault="00844E63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 приуроченных к Международному дню толерантности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декады правовых знаний среди обучающихся школы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Разработки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предусмотренных законодательством мер по </w:t>
            </w:r>
            <w:r>
              <w:rPr>
                <w:rFonts w:ascii="Times New Roman" w:hAnsi="Times New Roman"/>
                <w:sz w:val="24"/>
              </w:rPr>
              <w:lastRenderedPageBreak/>
              <w:t>предотвращению проявлений экстремизма при проведении общешкольных мероприятий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обеспечение правопорядка, недопущение экстремистских </w:t>
            </w:r>
            <w:r>
              <w:rPr>
                <w:rFonts w:ascii="Times New Roman" w:hAnsi="Times New Roman"/>
                <w:sz w:val="24"/>
              </w:rPr>
              <w:lastRenderedPageBreak/>
              <w:t>проявлений при проведении общешкольных мероприятий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правовой грамотности родительской общественности</w:t>
            </w:r>
          </w:p>
        </w:tc>
      </w:tr>
      <w:tr w:rsidR="00844E63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представителей школы</w:t>
            </w:r>
          </w:p>
        </w:tc>
      </w:tr>
      <w:tr w:rsidR="00844E63">
        <w:trPr>
          <w:trHeight w:val="4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4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4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4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Реализация Программы позволит:</w:t>
      </w: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Снизить степень распространенности негативных этнических установок и предрассудков в ученической среде</w:t>
      </w: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Сформирует у обучающихся навыки цивилизованного общения в Интернет-пространстве, этикета в чатах и форумах</w:t>
      </w: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 информационную безопасность</w:t>
      </w:r>
    </w:p>
    <w:p w:rsidR="00844E63" w:rsidRDefault="00FE3BAF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Ожидаемые результаты</w:t>
      </w: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Укрепление и культивирование в молодежной среде атмосферы межэтнического согласия и толерантности</w:t>
      </w: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Препятствование созданию и деятельности националистических экстремистских молодежных группировок</w:t>
      </w: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844E63" w:rsidRDefault="00FE3BAF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844E63" w:rsidRDefault="00FE3BAF">
      <w:pPr>
        <w:spacing w:after="0" w:line="240" w:lineRule="auto"/>
        <w:rPr>
          <w:rFonts w:ascii="Times New Roman" w:hAnsi="Times New Roman"/>
          <w:b/>
          <w:color w:val="252525"/>
          <w:sz w:val="24"/>
          <w:highlight w:val="white"/>
        </w:rPr>
      </w:pPr>
      <w:r>
        <w:rPr>
          <w:rFonts w:ascii="Times New Roman" w:hAnsi="Times New Roman"/>
          <w:b/>
          <w:color w:val="252525"/>
          <w:sz w:val="24"/>
          <w:highlight w:val="white"/>
        </w:rPr>
        <w:t xml:space="preserve">                              План мероприятий</w:t>
      </w: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профилактике экстремизма и терроризма</w:t>
      </w:r>
    </w:p>
    <w:p w:rsidR="00844E63" w:rsidRDefault="00A74096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2021-2025</w:t>
      </w:r>
      <w:r w:rsidR="00FE3BAF">
        <w:rPr>
          <w:rFonts w:ascii="Times New Roman" w:hAnsi="Times New Roman"/>
          <w:b/>
          <w:sz w:val="24"/>
        </w:rPr>
        <w:t xml:space="preserve"> учебный год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"/>
        <w:gridCol w:w="4176"/>
        <w:gridCol w:w="854"/>
        <w:gridCol w:w="1494"/>
        <w:gridCol w:w="3201"/>
      </w:tblGrid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844E63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классные руководители, социальный педагог, педагог-психолог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классные руководители, социальный педагог, педагог-психолог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Дежурный учитель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круглосуточной охраны.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школы, сторож, завхоз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 классные руководители, социальный педагог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сознания у молодежи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 классных руководителей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с обучающимися</w:t>
            </w:r>
          </w:p>
        </w:tc>
      </w:tr>
      <w:tr w:rsidR="00844E63">
        <w:trPr>
          <w:trHeight w:val="855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учащихся 1-х классов с</w:t>
            </w:r>
          </w:p>
          <w:p w:rsidR="00844E63" w:rsidRDefault="00FE3B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правилами поведения в школе. 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с  учащимися  2-11 классов правил поведения в школе.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rPr>
          <w:trHeight w:val="855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Проведение акции "Телефон доверия"</w:t>
            </w:r>
            <w:r>
              <w:rPr>
                <w:rFonts w:ascii="Times New Roman" w:hAnsi="Times New Roman"/>
                <w:sz w:val="24"/>
              </w:rPr>
              <w:t xml:space="preserve"> под девизом: "Информирование о телефоне доверия - шаг к безопасности ребенка!" о деятельности телефона доверия в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социальный педагог</w:t>
            </w:r>
          </w:p>
        </w:tc>
      </w:tr>
      <w:tr w:rsidR="00844E63">
        <w:trPr>
          <w:trHeight w:val="855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highlight w:val="white"/>
              </w:rPr>
              <w:t>плановых эвакуаций</w:t>
            </w:r>
            <w:r>
              <w:rPr>
                <w:rFonts w:ascii="Times New Roman" w:hAnsi="Times New Roman"/>
                <w:sz w:val="24"/>
              </w:rPr>
              <w:t xml:space="preserve"> с учащимися «Действия при угрозе теракта»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инструктажей с учащимися по противодействию терроризму, экстремизму и этносепаратизму.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педагогами и обучающимися инструкций по алгоритму действий в случае обнаружения подозрительных предметов, содержащих опасность для </w:t>
            </w:r>
            <w:r>
              <w:rPr>
                <w:rFonts w:ascii="Times New Roman" w:hAnsi="Times New Roman"/>
                <w:sz w:val="24"/>
              </w:rPr>
              <w:lastRenderedPageBreak/>
              <w:t>жизни и здоровья окружающих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ОБЖ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тематической литературы для педагогов и учеников.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по профилактике правонарушений и преступлений:</w:t>
            </w:r>
          </w:p>
          <w:p w:rsidR="00844E63" w:rsidRDefault="00FE3BAF">
            <w:pPr>
              <w:tabs>
                <w:tab w:val="left" w:pos="28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Индивидуальные и групповые беседы  на тему  «Об ответственности  несовершеннолетних, совершивших правонарушение, преступление»</w:t>
            </w:r>
          </w:p>
          <w:p w:rsidR="00844E63" w:rsidRDefault="00FE3B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-встреча уч-ся, состоящих на учёте, с инспектором ПДН ОМВД</w:t>
            </w:r>
          </w:p>
          <w:p w:rsidR="00844E63" w:rsidRDefault="00844E63">
            <w:pPr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-дискуссия « Буллинг. Как с ним бороться?»</w:t>
            </w:r>
          </w:p>
          <w:p w:rsidR="00844E63" w:rsidRDefault="00844E63">
            <w:pPr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-Видео лекторий «Экстремизм цвета крови»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-беседа «Об ответственности н/л,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учёт в КДН, ПДН ОМВД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учёт в КДН, ПДН ОМВД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классы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6-8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Тематические классные часы: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«</w:t>
            </w:r>
            <w:r>
              <w:rPr>
                <w:rFonts w:ascii="Times New Roman" w:hAnsi="Times New Roman"/>
                <w:sz w:val="24"/>
                <w:highlight w:val="white"/>
              </w:rPr>
              <w:t>Экстремизм- его истоки и последствия»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«Экстремизму и терроризму- НЕТ!»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«Профилактика и разрешение конфликтов»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«Толерантность».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Мы против межнациональных конфликтов»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Возьмитесь за руки, друзья!»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«Об умении жить в многонациональном государстве!»</w:t>
            </w:r>
          </w:p>
          <w:p w:rsidR="00844E63" w:rsidRDefault="00FE3B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«Молодежь против насилия и» 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экстремизма»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Уроки ОБЖ по теме «Изучение закона РФ «О противодействие </w:t>
            </w:r>
            <w:r>
              <w:rPr>
                <w:rFonts w:ascii="Times New Roman" w:hAnsi="Times New Roman"/>
                <w:sz w:val="24"/>
              </w:rPr>
              <w:lastRenderedPageBreak/>
              <w:t>экстремистской деятельности»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ОБЖ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обществознания: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«Гражданин – человек свободный и ответственный»»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«Правоотношения и правонарушения»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«Человек в системе социально-правовых норм»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 школы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стенда «Правовое воспитание» информацией об экстремизме и терроризме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3 -9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«Мой ветеран»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 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информатики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Советов профилактики в школе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социальный педагог, психолог, 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по выявлению субкультур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44E63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с родителями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- «Современные молодежные течения и увлечения»,                                                      - «Интернет и безопасность</w:t>
            </w:r>
          </w:p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занятости детей в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родителями социально незащищённой категории обучающихся.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844E63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Проведение акции "Телефон доверия"</w:t>
            </w:r>
            <w:r>
              <w:rPr>
                <w:rFonts w:ascii="Times New Roman" w:hAnsi="Times New Roman"/>
                <w:sz w:val="24"/>
              </w:rPr>
              <w:t xml:space="preserve"> под девизом: "Информирование о телефоне доверия - шаг к безопасности ребенка!"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A74096" w:rsidRDefault="00A74096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                                                      Приложение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ОСНОВНЫЕ ПОНЯТИЯ:</w:t>
      </w: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r>
        <w:rPr>
          <w:rFonts w:ascii="Times New Roman" w:hAnsi="Times New Roman"/>
          <w:b/>
          <w:sz w:val="24"/>
          <w:u w:val="single"/>
        </w:rPr>
        <w:t>Экстремистская деятельность (экстремизм):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насильственное изменение основ конституционного строя и нарушение целостности Российской Федерации;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публичное оправдание терроризма и иная террористическая деятельность;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возбуждение социальной, расовой, национальной или религиозной розни;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и подготовка указанных деяний, а также подстрекательство к их осуществлению;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b/>
          <w:sz w:val="24"/>
        </w:rPr>
        <w:t>. Экстремистская организация</w:t>
      </w:r>
      <w:r>
        <w:rPr>
          <w:rFonts w:ascii="Times New Roman" w:hAnsi="Times New Roman"/>
          <w:sz w:val="24"/>
        </w:rPr>
        <w:t xml:space="preserve"> -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</w:t>
      </w:r>
      <w:r>
        <w:rPr>
          <w:rFonts w:ascii="Times New Roman" w:hAnsi="Times New Roman"/>
          <w:sz w:val="24"/>
        </w:rPr>
        <w:lastRenderedPageBreak/>
        <w:t>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b/>
          <w:sz w:val="24"/>
        </w:rPr>
        <w:t>. Экстремистские материалы</w:t>
      </w:r>
      <w:r>
        <w:rPr>
          <w:rFonts w:ascii="Times New Roman" w:hAnsi="Times New Roman"/>
          <w:sz w:val="24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 Основные направления противодействия экстремистской деятельности.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Противодействие экстремистской деятельности осуществляется по следующим основным направлениям: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 Субъекты противодействия экстремистской деятельности.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 Профилактика экстремистской деятельности.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 Толерантность</w:t>
      </w:r>
      <w:r>
        <w:rPr>
          <w:rFonts w:ascii="Times New Roman" w:hAnsi="Times New Roman"/>
          <w:sz w:val="24"/>
        </w:rPr>
        <w:t> (лат. tolerantia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 Ксенофобия</w:t>
      </w:r>
      <w:r>
        <w:rPr>
          <w:rFonts w:ascii="Times New Roman" w:hAnsi="Times New Roman"/>
          <w:sz w:val="24"/>
        </w:rPr>
        <w:t> (греч. xenos - чужой + phobos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b/>
          <w:sz w:val="24"/>
        </w:rPr>
        <w:t>Терроризм </w:t>
      </w:r>
      <w:r>
        <w:rPr>
          <w:rFonts w:ascii="Times New Roman" w:hAnsi="Times New Roman"/>
          <w:sz w:val="24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Террористическая деятельность</w:t>
      </w:r>
      <w:r>
        <w:rPr>
          <w:rFonts w:ascii="Times New Roman" w:hAnsi="Times New Roman"/>
          <w:sz w:val="24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11.Террористическая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организация</w:t>
      </w:r>
      <w:r>
        <w:rPr>
          <w:rFonts w:ascii="Times New Roman" w:hAnsi="Times New Roman"/>
          <w:sz w:val="24"/>
        </w:rPr>
        <w:t> — </w:t>
      </w:r>
      <w:r>
        <w:rPr>
          <w:rFonts w:ascii="Times New Roman" w:hAnsi="Times New Roman"/>
          <w:b/>
          <w:sz w:val="24"/>
        </w:rPr>
        <w:t>организация,</w:t>
      </w:r>
      <w:r>
        <w:rPr>
          <w:rFonts w:ascii="Times New Roman" w:hAnsi="Times New Roman"/>
          <w:sz w:val="24"/>
        </w:rPr>
        <w:t> созданная в целях осуществления </w:t>
      </w:r>
      <w:r>
        <w:rPr>
          <w:rFonts w:ascii="Times New Roman" w:hAnsi="Times New Roman"/>
          <w:b/>
          <w:sz w:val="24"/>
        </w:rPr>
        <w:t>террористической </w:t>
      </w:r>
      <w:r>
        <w:rPr>
          <w:rFonts w:ascii="Times New Roman" w:hAnsi="Times New Roman"/>
          <w:sz w:val="24"/>
        </w:rPr>
        <w:t>деятельности или признающая возможность использования в своей деятельности терроризма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Террористи́ческий акт</w:t>
      </w:r>
      <w:r>
        <w:rPr>
          <w:rFonts w:ascii="Times New Roman" w:hAnsi="Times New Roman"/>
          <w:sz w:val="24"/>
        </w:rPr>
        <w:t> (сокращённо </w:t>
      </w:r>
      <w:r>
        <w:rPr>
          <w:rFonts w:ascii="Times New Roman" w:hAnsi="Times New Roman"/>
          <w:b/>
          <w:sz w:val="24"/>
        </w:rPr>
        <w:t>теракт</w:t>
      </w:r>
      <w:r>
        <w:rPr>
          <w:rFonts w:ascii="Times New Roman" w:hAnsi="Times New Roman"/>
          <w:sz w:val="24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b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Мониторинг по определению уровня взаимоотношений</w:t>
      </w: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среди обучающихся в классном коллективе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Инструментарий мониторинга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Предлагаемые характеристики оцениваются по 5-бальной шкале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 проявляется всегда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 проявляется часто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3- бывает редко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 этого у нас нет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 у нас другая позиция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"/>
        <w:gridCol w:w="7599"/>
        <w:gridCol w:w="241"/>
        <w:gridCol w:w="241"/>
        <w:gridCol w:w="241"/>
        <w:gridCol w:w="241"/>
        <w:gridCol w:w="984"/>
      </w:tblGrid>
      <w:tr w:rsidR="00844E63"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</w:t>
            </w:r>
          </w:p>
        </w:tc>
        <w:tc>
          <w:tcPr>
            <w:tcW w:w="1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</w:tr>
      <w:tr w:rsidR="00844E63"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7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доброжелательны и терпимы друг другу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нас доброжелательные отношения с учениками других классов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стараемся защитить своих ребят, когда они нуждаются в этом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отмечаем совместно праздники и дни рождения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уважительно относимся к ребятам других национальностей</w:t>
            </w: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средняя оценка обучающихся класса: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6-до 12 баллов – это очень низкий уровень (негативный)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13-до 18 баллов – это низкий уровень (негативный)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19 до 24 баллов – это средний уровень(нейтральный)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25-30 – это высокий уровень (позитивные)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Мониторинг по выявлению субкультур в классном коллективе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Инструментарий мониторинга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Анкета</w:t>
      </w:r>
    </w:p>
    <w:p w:rsidR="00844E63" w:rsidRDefault="00FE3BAF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Дорогой, ученик! После нашего классного часа ответь на вопросы, предлагаемые в анкете.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2"/>
        <w:gridCol w:w="8176"/>
        <w:gridCol w:w="1047"/>
      </w:tblGrid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</w:t>
            </w: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каких неформальных организациях ты узнал?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группы вызвали у тебя негативные эмоции и почему?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Можешь ли ты себя отнести к какой –нибудь группе?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Рекомендации по обработке анкеты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%- отнесли себя к какой-то группе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%- предрасположены к присоединению к каким-либо группам</w:t>
      </w:r>
    </w:p>
    <w:p w:rsidR="00844E63" w:rsidRDefault="00FE3BAF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%- безразличны к неформальным организациям</w:t>
      </w:r>
    </w:p>
    <w:p w:rsidR="00844E63" w:rsidRDefault="00844E63">
      <w:pPr>
        <w:spacing w:after="15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14"/>
        <w:gridCol w:w="2400"/>
        <w:gridCol w:w="5476"/>
      </w:tblGrid>
      <w:tr w:rsidR="00844E6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FE3BAF">
            <w:pPr>
              <w:spacing w:after="150" w:line="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представителей</w:t>
            </w:r>
          </w:p>
        </w:tc>
      </w:tr>
      <w:tr w:rsidR="00844E63"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хип-хоп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эмо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гламур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реконструкторы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ролевики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рокеры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металлисты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панки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флешмобы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стрейт-эйджеры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предрасположены к присоединению к каким-либо группам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безразличны к неформальным организациям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4E63"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844E63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исповедующие</w:t>
            </w:r>
          </w:p>
          <w:p w:rsidR="00844E63" w:rsidRDefault="00FE3BAF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нетрадиционные течения Ислама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4E63" w:rsidRDefault="00844E6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44E63" w:rsidRDefault="00844E63">
      <w:pPr>
        <w:spacing w:after="150" w:line="240" w:lineRule="auto"/>
        <w:jc w:val="center"/>
        <w:rPr>
          <w:rFonts w:ascii="Times New Roman" w:hAnsi="Times New Roman"/>
          <w:b/>
          <w:sz w:val="24"/>
        </w:rPr>
      </w:pPr>
    </w:p>
    <w:p w:rsidR="00844E63" w:rsidRDefault="00844E63">
      <w:pPr>
        <w:rPr>
          <w:rFonts w:ascii="Times New Roman" w:hAnsi="Times New Roman"/>
          <w:sz w:val="24"/>
        </w:rPr>
      </w:pPr>
    </w:p>
    <w:sectPr w:rsidR="00844E63" w:rsidSect="007046B4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D6" w:rsidRDefault="003051D6">
      <w:pPr>
        <w:spacing w:after="0" w:line="240" w:lineRule="auto"/>
      </w:pPr>
      <w:r>
        <w:separator/>
      </w:r>
    </w:p>
  </w:endnote>
  <w:endnote w:type="continuationSeparator" w:id="1">
    <w:p w:rsidR="003051D6" w:rsidRDefault="0030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63" w:rsidRDefault="00374914">
    <w:pPr>
      <w:framePr w:wrap="around" w:vAnchor="text" w:hAnchor="margin" w:xAlign="center" w:y="1"/>
    </w:pPr>
    <w:r>
      <w:fldChar w:fldCharType="begin"/>
    </w:r>
    <w:r w:rsidR="00FE3BAF">
      <w:instrText xml:space="preserve">PAGE </w:instrText>
    </w:r>
    <w:r>
      <w:fldChar w:fldCharType="separate"/>
    </w:r>
    <w:r w:rsidR="004C335F">
      <w:rPr>
        <w:noProof/>
      </w:rPr>
      <w:t>9</w:t>
    </w:r>
    <w:r>
      <w:fldChar w:fldCharType="end"/>
    </w:r>
  </w:p>
  <w:p w:rsidR="00844E63" w:rsidRDefault="00844E63">
    <w:pPr>
      <w:pStyle w:val="a3"/>
      <w:jc w:val="center"/>
    </w:pPr>
  </w:p>
  <w:p w:rsidR="00844E63" w:rsidRDefault="00844E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D6" w:rsidRDefault="003051D6">
      <w:pPr>
        <w:spacing w:after="0" w:line="240" w:lineRule="auto"/>
      </w:pPr>
      <w:r>
        <w:separator/>
      </w:r>
    </w:p>
  </w:footnote>
  <w:footnote w:type="continuationSeparator" w:id="1">
    <w:p w:rsidR="003051D6" w:rsidRDefault="0030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6EC"/>
    <w:multiLevelType w:val="multilevel"/>
    <w:tmpl w:val="569CF3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F4D334E"/>
    <w:multiLevelType w:val="multilevel"/>
    <w:tmpl w:val="F3E653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8A34AFE"/>
    <w:multiLevelType w:val="multilevel"/>
    <w:tmpl w:val="74BE0C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2EE43CB"/>
    <w:multiLevelType w:val="multilevel"/>
    <w:tmpl w:val="2520C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8E6933"/>
    <w:multiLevelType w:val="multilevel"/>
    <w:tmpl w:val="531603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2071652"/>
    <w:multiLevelType w:val="multilevel"/>
    <w:tmpl w:val="F3CC9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60641C18"/>
    <w:multiLevelType w:val="multilevel"/>
    <w:tmpl w:val="05ACCF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6C4B3D57"/>
    <w:multiLevelType w:val="multilevel"/>
    <w:tmpl w:val="CD388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720A3396"/>
    <w:multiLevelType w:val="multilevel"/>
    <w:tmpl w:val="6C1CD9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74D6094E"/>
    <w:multiLevelType w:val="multilevel"/>
    <w:tmpl w:val="6A20A6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E63"/>
    <w:rsid w:val="00102E9C"/>
    <w:rsid w:val="00166D06"/>
    <w:rsid w:val="003051D6"/>
    <w:rsid w:val="00374914"/>
    <w:rsid w:val="004C335F"/>
    <w:rsid w:val="00544484"/>
    <w:rsid w:val="005D53AE"/>
    <w:rsid w:val="007046B4"/>
    <w:rsid w:val="00844E63"/>
    <w:rsid w:val="00942EC9"/>
    <w:rsid w:val="00A74096"/>
    <w:rsid w:val="00C6202A"/>
    <w:rsid w:val="00FE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046B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7046B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046B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046B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046B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046B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46B4"/>
    <w:rPr>
      <w:sz w:val="22"/>
    </w:rPr>
  </w:style>
  <w:style w:type="paragraph" w:styleId="21">
    <w:name w:val="toc 2"/>
    <w:next w:val="a"/>
    <w:link w:val="22"/>
    <w:uiPriority w:val="39"/>
    <w:rsid w:val="007046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046B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046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046B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046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046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046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046B4"/>
    <w:rPr>
      <w:rFonts w:ascii="XO Thames" w:hAnsi="XO Thames"/>
      <w:sz w:val="28"/>
    </w:rPr>
  </w:style>
  <w:style w:type="paragraph" w:customStyle="1" w:styleId="Endnote">
    <w:name w:val="Endnote"/>
    <w:link w:val="Endnote0"/>
    <w:rsid w:val="007046B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046B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046B4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7046B4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hAnsi="Franklin Gothic Book"/>
      <w:sz w:val="20"/>
    </w:rPr>
  </w:style>
  <w:style w:type="character" w:customStyle="1" w:styleId="a4">
    <w:name w:val="Нижний колонтитул Знак"/>
    <w:basedOn w:val="1"/>
    <w:link w:val="a3"/>
    <w:rsid w:val="007046B4"/>
    <w:rPr>
      <w:rFonts w:ascii="Franklin Gothic Book" w:hAnsi="Franklin Gothic Book"/>
      <w:sz w:val="20"/>
    </w:rPr>
  </w:style>
  <w:style w:type="paragraph" w:styleId="31">
    <w:name w:val="toc 3"/>
    <w:next w:val="a"/>
    <w:link w:val="32"/>
    <w:uiPriority w:val="39"/>
    <w:rsid w:val="007046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046B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046B4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rsid w:val="007046B4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7046B4"/>
    <w:rPr>
      <w:sz w:val="22"/>
    </w:rPr>
  </w:style>
  <w:style w:type="character" w:customStyle="1" w:styleId="11">
    <w:name w:val="Заголовок 1 Знак"/>
    <w:link w:val="10"/>
    <w:rsid w:val="007046B4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7046B4"/>
    <w:rPr>
      <w:color w:val="0000FF"/>
      <w:u w:val="single"/>
    </w:rPr>
  </w:style>
  <w:style w:type="character" w:styleId="a7">
    <w:name w:val="Hyperlink"/>
    <w:link w:val="12"/>
    <w:rsid w:val="007046B4"/>
    <w:rPr>
      <w:color w:val="0000FF"/>
      <w:u w:val="single"/>
    </w:rPr>
  </w:style>
  <w:style w:type="paragraph" w:customStyle="1" w:styleId="Footnote">
    <w:name w:val="Footnote"/>
    <w:link w:val="Footnote0"/>
    <w:rsid w:val="007046B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046B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046B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046B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046B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046B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046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046B4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7046B4"/>
  </w:style>
  <w:style w:type="paragraph" w:styleId="8">
    <w:name w:val="toc 8"/>
    <w:next w:val="a"/>
    <w:link w:val="80"/>
    <w:uiPriority w:val="39"/>
    <w:rsid w:val="007046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046B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046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046B4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046B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046B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7046B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7046B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046B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046B4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2025-06-24T09:09:00Z</dcterms:created>
  <dcterms:modified xsi:type="dcterms:W3CDTF">2025-06-25T07:02:00Z</dcterms:modified>
</cp:coreProperties>
</file>